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7E" w:rsidRPr="00AF5C9C" w:rsidRDefault="00DB7F7E" w:rsidP="00DB7F7E">
      <w:pPr>
        <w:jc w:val="center"/>
        <w:rPr>
          <w:rFonts w:ascii="Snap ITC" w:hAnsi="Snap ITC"/>
        </w:rPr>
      </w:pPr>
      <w:bookmarkStart w:id="0" w:name="_GoBack"/>
      <w:bookmarkEnd w:id="0"/>
      <w:r>
        <w:rPr>
          <w:rFonts w:ascii="Snap ITC" w:hAnsi="Snap ITC"/>
          <w:sz w:val="48"/>
          <w:szCs w:val="48"/>
        </w:rPr>
        <w:t>Repères de p</w:t>
      </w:r>
      <w:r w:rsidRPr="00AF5C9C">
        <w:rPr>
          <w:rFonts w:ascii="Snap ITC" w:hAnsi="Snap ITC"/>
          <w:sz w:val="48"/>
          <w:szCs w:val="48"/>
        </w:rPr>
        <w:t>rogr</w:t>
      </w:r>
      <w:r>
        <w:rPr>
          <w:rFonts w:ascii="Snap ITC" w:hAnsi="Snap ITC"/>
          <w:sz w:val="48"/>
          <w:szCs w:val="48"/>
        </w:rPr>
        <w:t>essivité</w:t>
      </w:r>
      <w:r w:rsidRPr="00AF5C9C">
        <w:rPr>
          <w:rFonts w:ascii="Snap ITC" w:hAnsi="Snap ITC"/>
          <w:sz w:val="48"/>
          <w:szCs w:val="48"/>
        </w:rPr>
        <w:t xml:space="preserve"> Cycle 2</w:t>
      </w:r>
    </w:p>
    <w:p w:rsidR="00DB7F7E" w:rsidRPr="00397F71" w:rsidRDefault="00DB7F7E" w:rsidP="00DB7F7E">
      <w:pPr>
        <w:jc w:val="center"/>
        <w:rPr>
          <w:rFonts w:ascii="Snap ITC" w:hAnsi="Snap ITC"/>
          <w:b/>
          <w:bCs/>
          <w:sz w:val="48"/>
          <w:szCs w:val="48"/>
        </w:rPr>
      </w:pPr>
      <w:r w:rsidRPr="00AF5C9C">
        <w:rPr>
          <w:rFonts w:ascii="Snap ITC" w:hAnsi="Snap ITC"/>
          <w:b/>
          <w:bCs/>
          <w:sz w:val="48"/>
          <w:szCs w:val="48"/>
        </w:rPr>
        <w:t>M</w:t>
      </w:r>
      <w:r>
        <w:rPr>
          <w:rFonts w:ascii="Snap ITC" w:hAnsi="Snap ITC"/>
          <w:b/>
          <w:bCs/>
          <w:sz w:val="48"/>
          <w:szCs w:val="48"/>
        </w:rPr>
        <w:t>ATHÉMATIQUES</w:t>
      </w:r>
    </w:p>
    <w:p w:rsidR="00DB7F7E" w:rsidRDefault="00DB7F7E" w:rsidP="00DB7F7E">
      <w:pPr>
        <w:jc w:val="center"/>
        <w:rPr>
          <w:sz w:val="30"/>
          <w:szCs w:val="30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0"/>
        <w:gridCol w:w="4304"/>
        <w:gridCol w:w="7"/>
        <w:gridCol w:w="15"/>
        <w:gridCol w:w="4327"/>
        <w:gridCol w:w="9"/>
        <w:gridCol w:w="6"/>
        <w:gridCol w:w="4312"/>
      </w:tblGrid>
      <w:tr w:rsidR="00DB7F7E" w:rsidTr="005A3678"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AF5C9C">
              <w:rPr>
                <w:rFonts w:ascii="Lucida Handwriting" w:hAnsi="Lucida Handwriting"/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D320"/>
            <w:tcMar>
              <w:left w:w="51" w:type="dxa"/>
            </w:tcMar>
          </w:tcPr>
          <w:p w:rsidR="00DB7F7E" w:rsidRPr="00AF5C9C" w:rsidRDefault="00DB7F7E" w:rsidP="00DF7D00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AF5C9C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420E"/>
            <w:tcMar>
              <w:left w:w="51" w:type="dxa"/>
            </w:tcMar>
          </w:tcPr>
          <w:p w:rsidR="00DB7F7E" w:rsidRPr="00AF5C9C" w:rsidRDefault="00DB7F7E" w:rsidP="00DF7D00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AF5C9C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90016"/>
            <w:tcMar>
              <w:left w:w="51" w:type="dxa"/>
            </w:tcMar>
          </w:tcPr>
          <w:p w:rsidR="00DB7F7E" w:rsidRPr="00AF5C9C" w:rsidRDefault="00DB7F7E" w:rsidP="00DF7D00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AF5C9C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3 - CE2</w:t>
            </w:r>
          </w:p>
        </w:tc>
      </w:tr>
      <w:tr w:rsidR="00DB7F7E" w:rsidTr="00BD1D66">
        <w:tc>
          <w:tcPr>
            <w:tcW w:w="1457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CF00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Snap ITC" w:hAnsi="Snap ITC"/>
                <w:bCs/>
                <w:sz w:val="30"/>
                <w:szCs w:val="30"/>
              </w:rPr>
            </w:pPr>
            <w:r w:rsidRPr="00AF5C9C">
              <w:rPr>
                <w:rFonts w:ascii="Snap ITC" w:hAnsi="Snap ITC"/>
                <w:bCs/>
                <w:sz w:val="30"/>
                <w:szCs w:val="30"/>
              </w:rPr>
              <w:t>NOMBRES ET CALCULS</w:t>
            </w:r>
          </w:p>
        </w:tc>
      </w:tr>
      <w:tr w:rsidR="00DB7F7E" w:rsidTr="005A3678"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Comprendre et utiliser des nombres entiers pour dénombrer, ordonner, repérer, comparer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Dénombrer, constituer et comparer des collections.</w:t>
            </w:r>
          </w:p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 w:rsidRPr="00AF5C9C">
              <w:rPr>
                <w:rFonts w:eastAsia="Liberation Serif" w:cs="Liberation Serif"/>
                <w:b/>
                <w:bCs/>
                <w:sz w:val="22"/>
                <w:szCs w:val="22"/>
              </w:rPr>
              <w:t>→</w:t>
            </w:r>
            <w:r w:rsidRPr="00AF5C9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jusqu’à 99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Dénombrer, constituer et comparer des collections.</w:t>
            </w:r>
          </w:p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 w:rsidRPr="00AF5C9C">
              <w:rPr>
                <w:rFonts w:eastAsia="Liberation Serif" w:cs="Liberation Serif"/>
                <w:b/>
                <w:bCs/>
                <w:sz w:val="22"/>
                <w:szCs w:val="22"/>
              </w:rPr>
              <w:t>→</w:t>
            </w:r>
            <w:r w:rsidRPr="00AF5C9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jusqu’à 999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Dénombrer, constituer et comparer des collections.</w:t>
            </w:r>
          </w:p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 w:rsidRPr="00AF5C9C">
              <w:rPr>
                <w:rFonts w:eastAsia="Liberation Serif" w:cs="Liberation Serif"/>
                <w:b/>
                <w:bCs/>
                <w:sz w:val="22"/>
                <w:szCs w:val="22"/>
              </w:rPr>
              <w:t>→</w:t>
            </w:r>
            <w:r w:rsidRPr="00AF5C9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jusqu’à 10 000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Utiliser diverses stratégies de dénombrement (décomposition, recomposition additive, utilisation des unités </w:t>
            </w:r>
            <w:r>
              <w:rPr>
                <w:rFonts w:ascii="Comic Sans MS" w:hAnsi="Comic Sans MS"/>
                <w:sz w:val="22"/>
                <w:szCs w:val="22"/>
              </w:rPr>
              <w:t>et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dizaines en relat</w:t>
            </w:r>
            <w:r>
              <w:rPr>
                <w:rFonts w:ascii="Comic Sans MS" w:hAnsi="Comic Sans MS"/>
                <w:sz w:val="22"/>
                <w:szCs w:val="22"/>
              </w:rPr>
              <w:t>ion ou non avec des groupements</w:t>
            </w:r>
            <w:r w:rsidRPr="00AF5C9C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diverses stratégies de dénombrement (décomposition, recomposition additive ou multiplicative, utilisation d’unités intermédiaires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-dizaines, centaines</w:t>
            </w:r>
            <w:r w:rsidRPr="00AF5C9C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Utiliser diverses stratégies de dénombrement (décomposition, recomposition additive ou multiplicative, utilisation d’unités intermédiaires 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-dizaines, centaines</w:t>
            </w:r>
            <w:r w:rsidRPr="00AF5C9C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Repérer un rang, une position dans une file, sur une piste.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Faire le lien entre le rang dans une liste et le nombre d’éléments qui le précèdent.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Repérer un rang, une position dans une file, sur une piste.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Faire le lien entre le rang dans une liste et le nombre d’éléments qui le précèdent 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Repérer un rang, une position dans une file, sur une piste.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Faire le lien entre le rang dans une liste et le nombre d’éléments qui le précèdent 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AF5C9C">
              <w:rPr>
                <w:rFonts w:ascii="Comic Sans MS" w:hAnsi="Comic Sans MS"/>
                <w:sz w:val="22"/>
                <w:szCs w:val="22"/>
              </w:rPr>
              <w:t>relation entre ordinaux et cardinaux.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B7F7E">
            <w:pPr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range</w:t>
            </w:r>
            <w:r>
              <w:rPr>
                <w:rFonts w:ascii="Comic Sans MS" w:hAnsi="Comic Sans MS"/>
                <w:sz w:val="22"/>
                <w:szCs w:val="22"/>
              </w:rPr>
              <w:t>r, encadrer, intercaler des nom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bres entiers, 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ranger,</w:t>
            </w:r>
            <w:r>
              <w:rPr>
                <w:rFonts w:ascii="Comic Sans MS" w:hAnsi="Comic Sans MS"/>
                <w:sz w:val="22"/>
                <w:szCs w:val="22"/>
              </w:rPr>
              <w:t xml:space="preserve"> encadrer, intercaler des nom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bres entiers, en utilisant les symboles =, </w:t>
            </w:r>
            <w:r w:rsidRPr="00AF5C9C">
              <w:rPr>
                <w:rFonts w:ascii="Comic Sans MS" w:hAnsi="Comic Sans MS" w:cs="Arial"/>
                <w:bCs/>
                <w:sz w:val="22"/>
                <w:szCs w:val="22"/>
              </w:rPr>
              <w:t xml:space="preserve"> ≠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, &lt;, </w:t>
            </w:r>
            <w:proofErr w:type="gramStart"/>
            <w:r w:rsidRPr="00AF5C9C">
              <w:rPr>
                <w:rFonts w:ascii="Comic Sans MS" w:hAnsi="Comic Sans MS"/>
                <w:sz w:val="22"/>
                <w:szCs w:val="22"/>
              </w:rPr>
              <w:t>&gt;</w:t>
            </w:r>
            <w:r>
              <w:rPr>
                <w:rFonts w:ascii="Comic Sans MS" w:hAnsi="Comic Sans MS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range</w:t>
            </w:r>
            <w:r>
              <w:rPr>
                <w:rFonts w:ascii="Comic Sans MS" w:hAnsi="Comic Sans MS"/>
                <w:sz w:val="22"/>
                <w:szCs w:val="22"/>
              </w:rPr>
              <w:t>r, encadrer, intercaler des nom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bres entiers, en utilisant les symboles =, </w:t>
            </w:r>
            <w:r w:rsidRPr="00AF5C9C">
              <w:rPr>
                <w:rFonts w:ascii="Comic Sans MS" w:hAnsi="Comic Sans MS" w:cs="Arial"/>
                <w:bCs/>
                <w:sz w:val="22"/>
                <w:szCs w:val="22"/>
              </w:rPr>
              <w:t xml:space="preserve"> ≠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, &lt;, </w:t>
            </w:r>
            <w:proofErr w:type="gramStart"/>
            <w:r w:rsidRPr="00AF5C9C">
              <w:rPr>
                <w:rFonts w:ascii="Comic Sans MS" w:hAnsi="Comic Sans MS"/>
                <w:sz w:val="22"/>
                <w:szCs w:val="22"/>
              </w:rPr>
              <w:t>&gt;</w:t>
            </w:r>
            <w:r>
              <w:rPr>
                <w:rFonts w:ascii="Comic Sans MS" w:hAnsi="Comic Sans MS"/>
                <w:sz w:val="22"/>
                <w:szCs w:val="22"/>
              </w:rPr>
              <w:t> .</w:t>
            </w:r>
            <w:proofErr w:type="gramEnd"/>
          </w:p>
        </w:tc>
      </w:tr>
      <w:tr w:rsidR="00DB7F7E" w:rsidTr="005A3678"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Nommer, lire, écrire, représenter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 nombres entiers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Passer d’une représentation à une autre, en particulier associer le nom des nombres à leur écriture chiffrée.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Passer d’une représentation à une autre, en particulier associer le nom des nombres à leur écriture chiffrée.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Passer d’une représentation à une autre, en particulier associer le nom des nombres à leur écriture chiffrée.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Interpréter les noms des nombres à l’aide des unités de numération et des écritures arithmétiques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de numération (unités simples, dizaines) et leurs relations (principe décimal de la numération en chiffres)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aleur des chiffres en fonction de leur rang dans l’écriture d’un nombre.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Interpréter les noms des nombres à l’aide des unités de numération et des écritures arithmétiques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BD1D66" w:rsidRPr="00BD1D66">
              <w:rPr>
                <w:rFonts w:ascii="Comic Sans MS" w:hAnsi="Comic Sans MS"/>
                <w:sz w:val="22"/>
                <w:szCs w:val="22"/>
              </w:rPr>
              <w:t>Familiarisation</w:t>
            </w:r>
            <w:r w:rsidR="00BD1D66">
              <w:rPr>
                <w:rFonts w:ascii="Comic Sans MS" w:hAnsi="Comic Sans MS"/>
                <w:sz w:val="22"/>
                <w:szCs w:val="22"/>
              </w:rPr>
              <w:t xml:space="preserve"> avec les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de numération (unités simples, dizaines, centaines) et leurs relations (principe décimal de la numération en chiffres)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aleur des chiffres en fonction de leur rang dans l’écriture d’un nombre.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Interpréter les noms des nombres à l’aide des unités de numération et des écritures arithmétiques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de numération (unités simples, dizaines, centaines, milliers) et leurs relations (principe décimal de la numération en chiffres)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aleur des chiffres en fonction de leur rang dans l’écriture d’un nombre.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entier à une position sur une demi-droite graduée, ainsi qu’à la distance de ce point à l’origine.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ou un encadrement à une grandeur en mesurant celle-ci à l’aide d’une unité.</w:t>
            </w:r>
          </w:p>
          <w:p w:rsidR="00BD1D66" w:rsidRPr="00BD1D66" w:rsidRDefault="00BD1D66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Comic Sans MS" w:hAnsi="Comic Sans MS"/>
                <w:i/>
                <w:sz w:val="22"/>
                <w:szCs w:val="22"/>
              </w:rPr>
              <w:t>Ex : Utiliser une allumette pour mesurer une bande de papier.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ou un encadrement à une grandeur en mesurant celle-ci à l’aide d’une unité.</w:t>
            </w:r>
          </w:p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Comic Sans MS" w:hAnsi="Comic Sans MS"/>
                <w:i/>
                <w:sz w:val="22"/>
                <w:szCs w:val="22"/>
              </w:rPr>
              <w:t>Ex : Utiliser une allumette pour mesurer une bande de papier.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Associer un nombre ou un encadrement à une grandeur en mesurant celle-ci à l’aide d’une unité.</w:t>
            </w:r>
          </w:p>
        </w:tc>
      </w:tr>
      <w:tr w:rsidR="00DB7F7E" w:rsidTr="005A3678"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Résoudre des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problèmes en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utilisant des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nombres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entiers et des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calculs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Résoudre des problèmes issus de situations de la vie quotidienne ou adaptés de jeux portant sur des grandeurs et leur mesure, des déplacements sur une demi-droite graduée.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>ens des opérations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roblèmes relevant de structures additives (addition, soustraction)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Résoudre des problèmes issus de situations de la vie quotidienne ou adaptés de jeux portant sur des grandeurs et leur mesure, des déplacements sur une demi-droite graduée conduisant à utiliser les 4 opérations.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>ens des opérations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roblèmes relevant de structures additives, multiplicatives, de partages ou de groupements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Résoudre des problèmes issus de situations de la vie quotidienne ou adaptés de jeux portant sur des grandeurs et leur mesure, des déplacements sur une demi-droite graduée conduisant à utiliser les 4 opérations.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>ens des opérations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roblèmes relevant de structures additives, multiplicatives, de partages ou de groupements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5A3678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Modéliser ces problèmes à l’aide d’écritures mathématiques</w:t>
            </w:r>
          </w:p>
          <w:p w:rsidR="00DB7F7E" w:rsidRPr="00AF5C9C" w:rsidRDefault="00DB7F7E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>ens des symboles +, -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Modéliser ces problèmes à l’aide d’écritures mathématiques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ens des symboles +, -, </w:t>
            </w:r>
            <w:r w:rsidR="00BD1D66">
              <w:rPr>
                <w:rFonts w:ascii="Comic Sans MS" w:hAnsi="Comic Sans MS"/>
                <w:sz w:val="22"/>
                <w:szCs w:val="22"/>
              </w:rPr>
              <w:t>x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Modéliser ces problèmes à l’aide d’écritures mathématiques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S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ens des symboles +, -, </w:t>
            </w:r>
            <w:proofErr w:type="gramStart"/>
            <w:r w:rsidRPr="00AF5C9C">
              <w:rPr>
                <w:rFonts w:ascii="Comic Sans MS" w:hAnsi="Comic Sans MS"/>
                <w:sz w:val="22"/>
                <w:szCs w:val="22"/>
              </w:rPr>
              <w:t>x, :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98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Exploiter des données numériques pour répondre à des questions.</w:t>
            </w:r>
          </w:p>
        </w:tc>
      </w:tr>
      <w:tr w:rsidR="00BD1D66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BD1D66" w:rsidRPr="00AF5C9C" w:rsidRDefault="00BD1D66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Présenter et organiser des mesures sous forme de tableaux </w:t>
            </w:r>
          </w:p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</w:t>
            </w:r>
            <w:r w:rsidRPr="00AF5C9C">
              <w:rPr>
                <w:rFonts w:ascii="Comic Sans MS" w:hAnsi="Comic Sans MS"/>
                <w:sz w:val="22"/>
                <w:szCs w:val="22"/>
              </w:rPr>
              <w:t>ode de représentation de données numériques : tableaux.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Présenter et organiser des mesures sous forme de tableaux </w:t>
            </w:r>
          </w:p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ode de représentation de données numériques : tableaux, </w:t>
            </w:r>
            <w:r>
              <w:rPr>
                <w:rFonts w:ascii="Comic Sans MS" w:hAnsi="Comic Sans MS"/>
                <w:sz w:val="22"/>
                <w:szCs w:val="22"/>
              </w:rPr>
              <w:t>approche du graphique</w:t>
            </w:r>
            <w:r w:rsidRPr="00AF5C9C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27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Présenter et organiser des mesures sous forme de tableaux 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</w:t>
            </w:r>
            <w:r w:rsidRPr="00AF5C9C">
              <w:rPr>
                <w:rFonts w:ascii="Comic Sans MS" w:hAnsi="Comic Sans MS"/>
                <w:sz w:val="22"/>
                <w:szCs w:val="22"/>
              </w:rPr>
              <w:t>ode de représentation de données numériques : tableaux, graphiques simples.</w:t>
            </w:r>
          </w:p>
        </w:tc>
      </w:tr>
      <w:tr w:rsidR="00DB7F7E" w:rsidTr="005A3678"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Calculer avec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 nombres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entiers</w:t>
            </w:r>
          </w:p>
        </w:tc>
        <w:tc>
          <w:tcPr>
            <w:tcW w:w="43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Mémoriser des faits numériques et des procédures.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Tables de l’addition</w:t>
            </w:r>
            <w:r w:rsidR="005A3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BD1D66" w:rsidRPr="00BD1D66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Décompositions additives </w:t>
            </w:r>
            <w:r w:rsidR="00BD1D66"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Pr="00AF5C9C">
              <w:rPr>
                <w:rFonts w:ascii="Comic Sans MS" w:hAnsi="Comic Sans MS"/>
                <w:sz w:val="22"/>
                <w:szCs w:val="22"/>
              </w:rPr>
              <w:t>10 et de 100, compléments à la dizaine supérieure</w:t>
            </w:r>
            <w:r w:rsidR="00BD1D66">
              <w:rPr>
                <w:rFonts w:ascii="Comic Sans MS" w:hAnsi="Comic Sans MS"/>
                <w:sz w:val="22"/>
                <w:szCs w:val="22"/>
              </w:rPr>
              <w:t xml:space="preserve"> (familiarisation)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, doubles </w:t>
            </w:r>
            <w:r w:rsidR="00BD1D66">
              <w:rPr>
                <w:rFonts w:ascii="Comic Sans MS" w:hAnsi="Comic Sans MS"/>
                <w:sz w:val="22"/>
                <w:szCs w:val="22"/>
              </w:rPr>
              <w:t xml:space="preserve">et moitiés jusqu’à 10, doubles et moitiés jusqu’à 20 (Familiarisation). 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Mémoriser des faits numériques et des procédures.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Tables de l’addition et</w:t>
            </w:r>
            <w:r>
              <w:rPr>
                <w:rFonts w:ascii="Comic Sans MS" w:hAnsi="Comic Sans MS"/>
                <w:sz w:val="22"/>
                <w:szCs w:val="22"/>
              </w:rPr>
              <w:t xml:space="preserve"> de la multiplication (de 0 à 5</w:t>
            </w:r>
            <w:r w:rsidRPr="00AF5C9C">
              <w:rPr>
                <w:rFonts w:ascii="Comic Sans MS" w:hAnsi="Comic Sans MS"/>
                <w:sz w:val="22"/>
                <w:szCs w:val="22"/>
              </w:rPr>
              <w:t>)</w:t>
            </w:r>
            <w:r w:rsidR="005A3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Pr="00AF5C9C" w:rsidRDefault="00DB7F7E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Décompositions additives et multiplicatives de 10 et de 100, compl</w:t>
            </w:r>
            <w:r w:rsidR="00BD1D66">
              <w:rPr>
                <w:rFonts w:ascii="Comic Sans MS" w:hAnsi="Comic Sans MS"/>
                <w:sz w:val="22"/>
                <w:szCs w:val="22"/>
              </w:rPr>
              <w:t>éments à la dizaine supérieure</w:t>
            </w:r>
            <w:r w:rsidRPr="00AF5C9C">
              <w:rPr>
                <w:rFonts w:ascii="Comic Sans MS" w:hAnsi="Comic Sans MS"/>
                <w:sz w:val="22"/>
                <w:szCs w:val="22"/>
              </w:rPr>
              <w:t>, multiplication par une puissance de 10, doubles et moitiés de nombres d’usage courant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27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Mémoriser des faits numériques et des procédures.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Tables de l’addition et de la multiplication</w:t>
            </w:r>
            <w:r w:rsidR="005A3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Décompositions additives et multiplicatives de 10 et de 100, compléments à la dizaine supérieure, à la centaine supérieure, multiplication par une puissance de 10, doubles et moitiés de nombres d’usage courant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É</w:t>
            </w:r>
            <w:r w:rsidRPr="00AF5C9C">
              <w:rPr>
                <w:rFonts w:ascii="Comic Sans MS" w:hAnsi="Comic Sans MS"/>
                <w:sz w:val="22"/>
                <w:szCs w:val="22"/>
              </w:rPr>
              <w:t>laborer ou choisir des stratégies de calcul à l’oral et à l’écrit.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É</w:t>
            </w:r>
            <w:r w:rsidRPr="00AF5C9C">
              <w:rPr>
                <w:rFonts w:ascii="Comic Sans MS" w:hAnsi="Comic Sans MS"/>
                <w:sz w:val="22"/>
                <w:szCs w:val="22"/>
              </w:rPr>
              <w:t>laborer ou choisir des stratégies de calcul à l’oral et à l’écrit.</w:t>
            </w:r>
          </w:p>
        </w:tc>
        <w:tc>
          <w:tcPr>
            <w:tcW w:w="43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É</w:t>
            </w:r>
            <w:r w:rsidRPr="00AF5C9C">
              <w:rPr>
                <w:rFonts w:ascii="Comic Sans MS" w:hAnsi="Comic Sans MS"/>
                <w:sz w:val="22"/>
                <w:szCs w:val="22"/>
              </w:rPr>
              <w:t>laborer ou choisir des stratégies de calcul à l’oral et à l’écrit.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Vérifier la vraisemblance d’un résultat, notamment en estimant son ordre de grandeur.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Addition, soustraction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Propriétés implicites des opérations :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2+9, c’est pareil que 9+2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Vérifier la vraisemblance d’un résultat, notamment en estimant son ordre de grandeur.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Addition, soustraction, multiplication</w:t>
            </w:r>
            <w:r w:rsidR="005A3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Propriétés implicites des opérations :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2+9, c’est pareil que 9+2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ropriétés de la numération :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« 50+80, c’est 5 dizaines +8 dizaines, c’est 13 dizaines, c’est 130 »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Vérifier la vraisemblance d’un résultat, notamment en estimant son ordre de grandeur.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Addition, soustraction, multiplication, division</w:t>
            </w:r>
            <w:r w:rsidR="005A3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Propriétés implicites des opérations :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idem + 3x5x2 c’est pareil que 3x10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ropriétés de la numération :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« 50+80, c’est 5 dizaines +8 dizaines, c’est 13 dizaines, c’est 130 »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« 4x60, c’est 4x6 dizaines, c’est 24 dizaines, c’est 240 »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BD1D66" w:rsidTr="005A3678">
        <w:trPr>
          <w:trHeight w:val="2224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BD1D66" w:rsidRDefault="00BD1D66" w:rsidP="00DF7D00"/>
        </w:tc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mental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Calculer mentalement pour obtenir un résultat exact ou évaluer un ordre de grandeur.</w:t>
            </w:r>
          </w:p>
          <w:p w:rsidR="00BD1D66" w:rsidRPr="00AF5C9C" w:rsidRDefault="00BD1D66" w:rsidP="00DF7D00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364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mental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Calculer mentalement pour obtenir un résultat exact ou évaluer un ordre de grandeur.</w:t>
            </w:r>
          </w:p>
          <w:p w:rsidR="00BD1D66" w:rsidRPr="00BD1D66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C</w:t>
            </w:r>
            <w:r w:rsidRPr="00AF5C9C">
              <w:rPr>
                <w:rFonts w:ascii="Comic Sans MS" w:hAnsi="Comic Sans MS"/>
                <w:sz w:val="22"/>
                <w:szCs w:val="22"/>
              </w:rPr>
              <w:t>alculer me</w:t>
            </w:r>
            <w:r>
              <w:rPr>
                <w:rFonts w:ascii="Comic Sans MS" w:hAnsi="Comic Sans MS"/>
                <w:sz w:val="22"/>
                <w:szCs w:val="22"/>
              </w:rPr>
              <w:t>ntalement sur les nombres 1, 2,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5, 10, 20, 50, 100 en lien avec la monnaie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mental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Calculer mentalement pour obtenir un résultat exact ou évaluer un ordre de grandeur.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C</w:t>
            </w:r>
            <w:r w:rsidRPr="00AF5C9C">
              <w:rPr>
                <w:rFonts w:ascii="Comic Sans MS" w:hAnsi="Comic Sans MS"/>
                <w:sz w:val="22"/>
                <w:szCs w:val="22"/>
              </w:rPr>
              <w:t>alculer mentalement sur les nombres 15, 30, 45, 60, 90 en lien avec les durées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en ligne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Calculer en utilisant des écritures en lignes additives, soustractives.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en ligne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Calculer en utilisant des écritures en lignes additives, soustractives, multiplicatives.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en ligne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Calculer en utilisant des écritures en lignes additives, soustractives, multiplicatives, mixtes.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+ utiliser des écritures en ligne du type 21=4x5+1 pour trouver le quotient et le reste de la division de 21 par 4 (ou par 5)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5x36=5x2x18=10x18=180</w:t>
            </w:r>
          </w:p>
          <w:p w:rsidR="00BD1D66" w:rsidRPr="00AF5C9C" w:rsidRDefault="00BD1D66" w:rsidP="00BD1D66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- 5x36=150+30=180</w:t>
            </w:r>
          </w:p>
        </w:tc>
      </w:tr>
      <w:tr w:rsidR="00DB7F7E" w:rsidTr="005A3678"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Calcul posé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Mettre en œuvre un algorithme de calcul posé pour l’addition, la soustraction (sans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retenue).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’apprentissage des techniques opératoires posées (addition, soustraction) se fait en lien avec la numération et les propriétés des opérations.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lastRenderedPageBreak/>
              <w:t>Calcul posé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Mettre en œuvre un algorithme de calcul posé pour l’addition, la soustraction, la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multiplication.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’apprentissage des techniques opératoires posées (addition, soustraction, multiplication</w:t>
            </w:r>
            <w:r w:rsidR="00BD1D66">
              <w:rPr>
                <w:rFonts w:ascii="Comic Sans MS" w:hAnsi="Comic Sans MS"/>
                <w:sz w:val="22"/>
                <w:szCs w:val="22"/>
              </w:rPr>
              <w:t xml:space="preserve"> par un nombre à 1 chiffre</w:t>
            </w:r>
            <w:r w:rsidRPr="00AF5C9C">
              <w:rPr>
                <w:rFonts w:ascii="Comic Sans MS" w:hAnsi="Comic Sans MS"/>
                <w:sz w:val="22"/>
                <w:szCs w:val="22"/>
              </w:rPr>
              <w:t>) se fait en lien avec la numération et les propriétés des opérations.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  <w:u w:val="single"/>
              </w:rPr>
            </w:pPr>
            <w:r w:rsidRPr="00AF5C9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lastRenderedPageBreak/>
              <w:t>Calcul posé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Mettre en œuvre un algorithme de calcul posé pour l’addition, la soustraction, la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multiplication.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’apprentissage des techniques opératoires posées (addition, soustraction, multiplication) se fait en lien avec la numération et les propriétés des opérations.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DB7F7E" w:rsidTr="00BD1D66">
        <w:trPr>
          <w:trHeight w:val="492"/>
        </w:trPr>
        <w:tc>
          <w:tcPr>
            <w:tcW w:w="1457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Snap ITC" w:hAnsi="Snap ITC"/>
                <w:bCs/>
                <w:sz w:val="30"/>
                <w:szCs w:val="30"/>
              </w:rPr>
            </w:pPr>
            <w:r w:rsidRPr="00AF5C9C">
              <w:rPr>
                <w:rFonts w:ascii="Snap ITC" w:hAnsi="Snap ITC"/>
                <w:bCs/>
                <w:sz w:val="30"/>
                <w:szCs w:val="30"/>
              </w:rPr>
              <w:lastRenderedPageBreak/>
              <w:t>GRANDEURS ET MESURES</w:t>
            </w:r>
          </w:p>
        </w:tc>
      </w:tr>
      <w:tr w:rsidR="00DB7F7E" w:rsidTr="005A3678">
        <w:trPr>
          <w:trHeight w:val="773"/>
        </w:trPr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Comparer,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estimer,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mesurer des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longueurs,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 masses,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contenances,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 durées.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Utiliser le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lexique, les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unités, les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instruments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 mesures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spécifiques</w:t>
            </w:r>
          </w:p>
          <w:p w:rsidR="00DB7F7E" w:rsidRPr="00AF5C9C" w:rsidRDefault="00DB7F7E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pour ces</w:t>
            </w:r>
          </w:p>
          <w:p w:rsidR="00DB7F7E" w:rsidRDefault="00DB7F7E" w:rsidP="00DF7D00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grandeurs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objets selon plusieurs grandeurs et identifier quand il s’agit d’une longueur, d’une masse.</w:t>
            </w:r>
          </w:p>
          <w:p w:rsidR="00BD1D66" w:rsidRPr="00BD1D66" w:rsidRDefault="00BD1D66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DF7D00"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tion.</w:t>
            </w:r>
          </w:p>
          <w:p w:rsidR="005A3678" w:rsidRDefault="005A3678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exique spécifique associé aux longueurs, aux masses.</w:t>
            </w:r>
          </w:p>
          <w:p w:rsidR="00BD1D66" w:rsidRPr="00BD1D66" w:rsidRDefault="00BD1D66" w:rsidP="00BD1D66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BD1D66" w:rsidRPr="00AF5C9C" w:rsidRDefault="00BD1D66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objets selon plusieurs grandeurs et identifier quand il s’agit d’une longueur, d’une masse, d’une contenance ou d’une durée.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exique spécifique associé aux longueurs, aux masses.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objets selon plusieurs grandeurs et identifier quand il s’agit d’une longueur, d’une masse, d’une contenance ou d’une durée.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</w:t>
            </w:r>
            <w:r w:rsidRPr="00AF5C9C">
              <w:rPr>
                <w:rFonts w:ascii="Comic Sans MS" w:hAnsi="Comic Sans MS"/>
                <w:sz w:val="22"/>
                <w:szCs w:val="22"/>
              </w:rPr>
              <w:t>exique spécifique associé aux longueurs, aux masses, aux contenances, aux durées.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tion.</w:t>
            </w:r>
          </w:p>
        </w:tc>
      </w:tr>
      <w:tr w:rsidR="00DB7F7E" w:rsidTr="005A3678">
        <w:trPr>
          <w:trHeight w:val="773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longueurs, des masses, directement, en introduisant la comparaison à un objet intermédiaire ou par mesurage (étalon, double décimètre)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J</w:t>
            </w:r>
            <w:r w:rsidRPr="00AF5C9C">
              <w:rPr>
                <w:rFonts w:ascii="Comic Sans MS" w:hAnsi="Comic Sans MS"/>
                <w:sz w:val="22"/>
                <w:szCs w:val="22"/>
              </w:rPr>
              <w:t>uxtaposer des objets pour comparer leur longueur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longueurs, des masses, directement, en introduisant la comparaison à un objet intermédiaire ou par mesurage (étalon, double décimètre)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J</w:t>
            </w:r>
            <w:r w:rsidRPr="00AF5C9C">
              <w:rPr>
                <w:rFonts w:ascii="Comic Sans MS" w:hAnsi="Comic Sans MS"/>
                <w:sz w:val="22"/>
                <w:szCs w:val="22"/>
              </w:rPr>
              <w:t>uxtaposer des objets pour comparer leur longueur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 des longueurs, des masses et des contenances, directement, en introduisant la comparaison à un objet intermédiaire ou par mesurage (étalon, double décimètre, compas)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DF7D00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DF7D00">
              <w:rPr>
                <w:rFonts w:ascii="Comic Sans MS" w:hAnsi="Comic Sans MS"/>
                <w:i/>
                <w:sz w:val="22"/>
                <w:szCs w:val="22"/>
              </w:rPr>
              <w:t xml:space="preserve"> Acquis.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J</w:t>
            </w:r>
            <w:r w:rsidRPr="00AF5C9C">
              <w:rPr>
                <w:rFonts w:ascii="Comic Sans MS" w:hAnsi="Comic Sans MS"/>
                <w:sz w:val="22"/>
                <w:szCs w:val="22"/>
              </w:rPr>
              <w:t>uxtaposer des objets pour comparer leur longueur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DF7D00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DF7D00">
              <w:rPr>
                <w:rFonts w:ascii="Comic Sans MS" w:hAnsi="Comic Sans MS"/>
                <w:i/>
                <w:sz w:val="22"/>
                <w:szCs w:val="22"/>
              </w:rPr>
              <w:t xml:space="preserve"> Acquis.</w:t>
            </w:r>
          </w:p>
        </w:tc>
      </w:tr>
      <w:tr w:rsidR="00DB7F7E" w:rsidTr="005A3678">
        <w:trPr>
          <w:trHeight w:val="773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Estimer les ordres de grandeurs de quelques longueurs en relation avec les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unités métriques.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O</w:t>
            </w:r>
            <w:r w:rsidRPr="00AF5C9C">
              <w:rPr>
                <w:rFonts w:ascii="Comic Sans MS" w:hAnsi="Comic Sans MS"/>
                <w:sz w:val="22"/>
                <w:szCs w:val="22"/>
              </w:rPr>
              <w:t>rdre de grandeur des unités usuelles en les associant à quelques objets familiers.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866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Estimer les ordres de grandeurs de quelques longueurs, masses en relation avec les unités métriques.</w:t>
            </w:r>
          </w:p>
          <w:p w:rsid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Vérifier éventuellement avec un instrument (double décimètre, balance).</w:t>
            </w:r>
          </w:p>
          <w:p w:rsidR="00DF7D00" w:rsidRPr="00DF7D00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O</w:t>
            </w:r>
            <w:r w:rsidRPr="00AF5C9C">
              <w:rPr>
                <w:rFonts w:ascii="Comic Sans MS" w:hAnsi="Comic Sans MS"/>
                <w:sz w:val="22"/>
                <w:szCs w:val="22"/>
              </w:rPr>
              <w:t>rdre de grandeur des unités usuelles en les associant à quelques objets familiers.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DB7F7E" w:rsidTr="005A3678">
        <w:trPr>
          <w:trHeight w:val="773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Mesurer des longueurs avec un instrument adapté, notamment en reportant une unité (étalon).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Mesurer des masses avec des instruments adaptés.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Exprimer une mesure dans une ou plusieurs unités choisies ou imposées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N</w:t>
            </w:r>
            <w:r w:rsidRPr="00AF5C9C">
              <w:rPr>
                <w:rFonts w:ascii="Comic Sans MS" w:hAnsi="Comic Sans MS"/>
                <w:sz w:val="22"/>
                <w:szCs w:val="22"/>
              </w:rPr>
              <w:t>otion d’unité : grandeur arbitraire prise comme référence pour mesurer les grandeurs de la même espèce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nités de mesures usuelles : 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</w:t>
            </w:r>
            <w:r w:rsidRPr="00AF5C9C">
              <w:rPr>
                <w:rFonts w:ascii="Comic Sans MS" w:hAnsi="Comic Sans MS"/>
                <w:sz w:val="22"/>
                <w:szCs w:val="22"/>
              </w:rPr>
              <w:t>Longueur : cm</w:t>
            </w:r>
          </w:p>
          <w:p w:rsidR="00361D24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DB7F7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DB7F7E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DB7F7E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Masse : g, kg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Mesurer des longueurs avec un instrument adapté, notamment en reportant une unité.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Mesurer des masses et des contenances avec des instruments adaptés.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Encadrer une grandeur par 2 nombres entiers d’unités.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Exprimer une mesure dans une ou plusieurs unités choisies ou imposées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N</w:t>
            </w:r>
            <w:r w:rsidRPr="00AF5C9C">
              <w:rPr>
                <w:rFonts w:ascii="Comic Sans MS" w:hAnsi="Comic Sans MS"/>
                <w:sz w:val="22"/>
                <w:szCs w:val="22"/>
              </w:rPr>
              <w:t>otion d’unité : grandeur arbitraire prise comme référence pour mesurer les grandeurs de la même espèce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nités de mesures usuelles : </w:t>
            </w:r>
          </w:p>
          <w:p w:rsidR="00DB7F7E" w:rsidRDefault="008363C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Longueur : m, cm</w:t>
            </w:r>
          </w:p>
          <w:p w:rsid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361D24" w:rsidRDefault="008363C7" w:rsidP="008363C7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8363C7" w:rsidRDefault="00361D24" w:rsidP="008363C7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     </w:t>
            </w:r>
            <w:r w:rsidR="008363C7">
              <w:rPr>
                <w:rFonts w:ascii="Comic Sans MS" w:hAnsi="Comic Sans MS"/>
                <w:sz w:val="22"/>
                <w:szCs w:val="22"/>
              </w:rPr>
              <w:t>. Longueur : km </w:t>
            </w:r>
          </w:p>
          <w:p w:rsidR="008363C7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</w:t>
            </w:r>
            <w:r w:rsidRPr="00AF5C9C">
              <w:rPr>
                <w:rFonts w:ascii="Comic Sans MS" w:hAnsi="Comic Sans MS"/>
                <w:sz w:val="22"/>
                <w:szCs w:val="22"/>
              </w:rPr>
              <w:t>Masse : g, kg</w:t>
            </w:r>
          </w:p>
          <w:p w:rsid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DF7D00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DF7D00">
              <w:rPr>
                <w:rFonts w:ascii="Comic Sans MS" w:hAnsi="Comic Sans MS"/>
                <w:i/>
                <w:sz w:val="22"/>
                <w:szCs w:val="22"/>
              </w:rPr>
              <w:t xml:space="preserve"> Acquis.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R</w:t>
            </w:r>
            <w:r w:rsidRPr="00AF5C9C">
              <w:rPr>
                <w:rFonts w:ascii="Comic Sans MS" w:hAnsi="Comic Sans MS"/>
                <w:sz w:val="22"/>
                <w:szCs w:val="22"/>
              </w:rPr>
              <w:t>elation entre les unités de longueur, entre les unités de masses.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Mesurer des longueurs avec un instrument adapté, notamment en reportant une unité.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Mesurer des masses et des contenances avec des instruments adaptés.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Encadrer une grandeur par 2 nombres entiers d’unités.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F7D00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Exprimer une mesure dans une ou plusieurs unités choisies ou imposées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N</w:t>
            </w:r>
            <w:r w:rsidRPr="00AF5C9C">
              <w:rPr>
                <w:rFonts w:ascii="Comic Sans MS" w:hAnsi="Comic Sans MS"/>
                <w:sz w:val="22"/>
                <w:szCs w:val="22"/>
              </w:rPr>
              <w:t>otion d’unité : grandeur arbitraire prise comme référence pour mesurer les grandeurs de la même espèce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361D24" w:rsidRP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nités de mesures usuelles : 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Longueur : m, dm, cm, mm, km ;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361D24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     </w:t>
            </w:r>
          </w:p>
          <w:p w:rsidR="00361D24" w:rsidRDefault="00361D24" w:rsidP="00DF7D00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DB7F7E">
              <w:rPr>
                <w:rFonts w:ascii="Comic Sans MS" w:hAnsi="Comic Sans MS"/>
                <w:sz w:val="22"/>
                <w:szCs w:val="22"/>
              </w:rPr>
              <w:t xml:space="preserve"> . Masse : g, kg, tonne </w:t>
            </w:r>
          </w:p>
          <w:p w:rsidR="00361D24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DB7F7E" w:rsidRDefault="00361D24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DB7F7E">
              <w:rPr>
                <w:rFonts w:ascii="Comic Sans MS" w:hAnsi="Comic Sans MS"/>
                <w:sz w:val="22"/>
                <w:szCs w:val="22"/>
              </w:rPr>
              <w:t>. Contenance : l</w:t>
            </w:r>
            <w:r w:rsidR="00DB7F7E" w:rsidRPr="00AF5C9C">
              <w:rPr>
                <w:rFonts w:ascii="Comic Sans MS" w:hAnsi="Comic Sans MS"/>
                <w:sz w:val="22"/>
                <w:szCs w:val="22"/>
              </w:rPr>
              <w:t>, dl, cl</w:t>
            </w:r>
          </w:p>
          <w:p w:rsidR="00DF7D00" w:rsidRDefault="00DF7D00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8363C7" w:rsidRDefault="008363C7" w:rsidP="00DF7D00">
            <w:pPr>
              <w:pStyle w:val="Contenudetableau"/>
              <w:rPr>
                <w:rFonts w:ascii="Comic Sans MS" w:hAnsi="Comic Sans MS"/>
                <w:i/>
              </w:rPr>
            </w:pPr>
          </w:p>
          <w:p w:rsidR="008363C7" w:rsidRPr="00361D24" w:rsidRDefault="008363C7" w:rsidP="00DF7D00">
            <w:pPr>
              <w:pStyle w:val="Contenudetableau"/>
              <w:rPr>
                <w:rFonts w:ascii="Comic Sans MS" w:hAnsi="Comic Sans MS"/>
                <w:sz w:val="20"/>
                <w:szCs w:val="20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R</w:t>
            </w:r>
            <w:r w:rsidRPr="00AF5C9C">
              <w:rPr>
                <w:rFonts w:ascii="Comic Sans MS" w:hAnsi="Comic Sans MS"/>
                <w:sz w:val="22"/>
                <w:szCs w:val="22"/>
              </w:rPr>
              <w:t>elation entre les unités de longueur, entre les unités de masses, entre les unités de contenances.</w:t>
            </w:r>
          </w:p>
          <w:p w:rsidR="00DF7D00" w:rsidRPr="00AF5C9C" w:rsidRDefault="00DF7D00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DB7F7E" w:rsidTr="005A3678">
        <w:trPr>
          <w:trHeight w:val="773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estimer, mesurer des durées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Default="00DB7F7E" w:rsidP="008363C7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usuelles de durées : jour, semaine, mois</w:t>
            </w:r>
            <w:r w:rsidR="008363C7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8363C7" w:rsidRDefault="008363C7" w:rsidP="008363C7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361D24" w:rsidRDefault="00361D24" w:rsidP="008363C7">
            <w:pPr>
              <w:pStyle w:val="Contenudetableau"/>
              <w:rPr>
                <w:rFonts w:ascii="Comic Sans MS" w:hAnsi="Comic Sans MS"/>
                <w:i/>
              </w:rPr>
            </w:pPr>
          </w:p>
          <w:p w:rsidR="00361D24" w:rsidRPr="00AF5C9C" w:rsidRDefault="00361D24" w:rsidP="008363C7">
            <w:pPr>
              <w:pStyle w:val="Contenudetableau"/>
              <w:rPr>
                <w:rFonts w:ascii="Comic Sans MS" w:hAnsi="Comic Sans MS"/>
              </w:rPr>
            </w:pP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un sablier, des horloges et des montres à aiguilles et à affichage digital.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estimer, mesurer des durées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usuelles de durées : j, semaine, h, min, mois, année.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R</w:t>
            </w:r>
            <w:r w:rsidRPr="00AF5C9C">
              <w:rPr>
                <w:rFonts w:ascii="Comic Sans MS" w:hAnsi="Comic Sans MS"/>
                <w:sz w:val="22"/>
                <w:szCs w:val="22"/>
              </w:rPr>
              <w:t>elation entre ces unités.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un sablier, des horloges et des montres à aiguilles et à affichage digital, un chronomètre.</w:t>
            </w:r>
          </w:p>
          <w:p w:rsidR="00DB7F7E" w:rsidRPr="00AF5C9C" w:rsidRDefault="008363C7" w:rsidP="00DF7D00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Pr="00AF5C9C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Comparer, estimer, mesurer des durées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U</w:t>
            </w:r>
            <w:r w:rsidRPr="00AF5C9C">
              <w:rPr>
                <w:rFonts w:ascii="Comic Sans MS" w:hAnsi="Comic Sans MS"/>
                <w:sz w:val="22"/>
                <w:szCs w:val="22"/>
              </w:rPr>
              <w:t>nités usuelles de durées : j, semaine, h, min, sec,</w:t>
            </w:r>
            <w:r w:rsidR="00DF7D00">
              <w:rPr>
                <w:rFonts w:ascii="Comic Sans MS" w:hAnsi="Comic Sans MS"/>
                <w:sz w:val="22"/>
                <w:szCs w:val="22"/>
              </w:rPr>
              <w:t xml:space="preserve"> mois, année, siècle</w:t>
            </w:r>
            <w:r w:rsidRPr="00AF5C9C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8363C7" w:rsidRPr="008363C7" w:rsidRDefault="008363C7" w:rsidP="00DF7D00">
            <w:pPr>
              <w:pStyle w:val="Contenudetableau"/>
              <w:rPr>
                <w:rFonts w:ascii="Comic Sans MS" w:hAnsi="Comic Sans MS"/>
                <w:i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R</w:t>
            </w:r>
            <w:r w:rsidRPr="00AF5C9C">
              <w:rPr>
                <w:rFonts w:ascii="Comic Sans MS" w:hAnsi="Comic Sans MS"/>
                <w:sz w:val="22"/>
                <w:szCs w:val="22"/>
              </w:rPr>
              <w:t>elation entre ces unités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un sablier, des horloges et des montres à aiguilles et à affichage digital, un chronomètre.</w:t>
            </w:r>
          </w:p>
          <w:p w:rsidR="008363C7" w:rsidRPr="00397F71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8363C7" w:rsidTr="005A3678">
        <w:trPr>
          <w:trHeight w:val="273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8363C7" w:rsidRDefault="008363C7" w:rsidP="00DF7D00"/>
        </w:tc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8363C7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Dans des cas simples, représenter une grandeur par une longueur, notamment sur une demi-droite graduée.</w:t>
            </w:r>
          </w:p>
          <w:p w:rsidR="008363C7" w:rsidRPr="00AF5C9C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364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63C7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Dans des cas simples, représenter une grandeur par une longueur, notamment sur une demi-droite graduée.</w:t>
            </w:r>
          </w:p>
          <w:p w:rsidR="008363C7" w:rsidRPr="00AF5C9C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63C7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Dans des cas simples, représenter une grandeur par une longueur, notamment sur une demi-droite graduée.</w:t>
            </w:r>
          </w:p>
          <w:p w:rsidR="008363C7" w:rsidRPr="00AF5C9C" w:rsidRDefault="008363C7" w:rsidP="008363C7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8363C7" w:rsidTr="005A3678">
        <w:trPr>
          <w:trHeight w:val="719"/>
        </w:trPr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8363C7" w:rsidRPr="00AF5C9C" w:rsidRDefault="008363C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Résoudre des</w:t>
            </w:r>
          </w:p>
          <w:p w:rsidR="008363C7" w:rsidRPr="00AF5C9C" w:rsidRDefault="008363C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problèmes de</w:t>
            </w:r>
          </w:p>
          <w:p w:rsidR="008363C7" w:rsidRPr="00AF5C9C" w:rsidRDefault="008363C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longueurs,</w:t>
            </w:r>
          </w:p>
          <w:p w:rsidR="008363C7" w:rsidRPr="00AF5C9C" w:rsidRDefault="008363C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proofErr w:type="gramStart"/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masses</w:t>
            </w:r>
            <w:proofErr w:type="gramEnd"/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,</w:t>
            </w:r>
          </w:p>
          <w:p w:rsidR="008363C7" w:rsidRPr="00AF5C9C" w:rsidRDefault="008363C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durées, prix,</w:t>
            </w:r>
          </w:p>
          <w:p w:rsidR="008363C7" w:rsidRDefault="008363C7" w:rsidP="00DF7D00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contenances</w:t>
            </w:r>
          </w:p>
        </w:tc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8363C7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Résoudre des problèmes,</w:t>
            </w:r>
            <w:r>
              <w:rPr>
                <w:rFonts w:ascii="Comic Sans MS" w:hAnsi="Comic Sans MS"/>
                <w:sz w:val="22"/>
                <w:szCs w:val="22"/>
              </w:rPr>
              <w:t xml:space="preserve"> notamment de mesurage et de com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paraison, en utilisant les opérations sur les grandeurs ou sur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les nombres.</w:t>
            </w:r>
          </w:p>
          <w:p w:rsidR="008363C7" w:rsidRPr="00AF5C9C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364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363C7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Résoudre des problèmes,</w:t>
            </w:r>
            <w:r>
              <w:rPr>
                <w:rFonts w:ascii="Comic Sans MS" w:hAnsi="Comic Sans MS"/>
                <w:sz w:val="22"/>
                <w:szCs w:val="22"/>
              </w:rPr>
              <w:t xml:space="preserve"> notamment de mesurage et de com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paraison, en utilisant les opérations sur les grandeurs ou sur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les nombres.</w:t>
            </w:r>
          </w:p>
          <w:p w:rsidR="008363C7" w:rsidRPr="00AF5C9C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363C7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Résoudre des problèmes,</w:t>
            </w:r>
            <w:r>
              <w:rPr>
                <w:rFonts w:ascii="Comic Sans MS" w:hAnsi="Comic Sans MS"/>
                <w:sz w:val="22"/>
                <w:szCs w:val="22"/>
              </w:rPr>
              <w:t xml:space="preserve"> notamment de mesurage et de com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paraison, en utilisant les opérations sur les grandeurs ou sur </w:t>
            </w: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les nombres.</w:t>
            </w:r>
          </w:p>
          <w:p w:rsidR="008363C7" w:rsidRPr="00AF5C9C" w:rsidRDefault="008363C7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DB7F7E" w:rsidTr="005A3678">
        <w:trPr>
          <w:trHeight w:val="884"/>
        </w:trPr>
        <w:tc>
          <w:tcPr>
            <w:tcW w:w="15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DB7F7E" w:rsidRDefault="00DB7F7E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jc w:val="both"/>
              <w:rPr>
                <w:sz w:val="17"/>
                <w:szCs w:val="17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Résoudre des problèmes impliquant des conversions simples d’une unité usuelle à une autre.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Convertir avant de calculer si nécessaire.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Résoudre des problèmes impliquant des conversions simples d’une unité usuelle à une autre.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  <w:p w:rsidR="00DB7F7E" w:rsidRDefault="00DB7F7E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Convertir avant de calculer si nécessaire.</w:t>
            </w:r>
          </w:p>
          <w:p w:rsidR="008363C7" w:rsidRPr="00AF5C9C" w:rsidRDefault="008363C7" w:rsidP="00DF7D00">
            <w:pPr>
              <w:pStyle w:val="Contenudetableau"/>
              <w:rPr>
                <w:rFonts w:ascii="Comic Sans MS" w:hAnsi="Comic Sans MS"/>
              </w:rPr>
            </w:pPr>
            <w:r w:rsidRPr="00BD1D66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En cours d’acquisi</w:t>
            </w:r>
            <w:r w:rsidRPr="00BD1D66">
              <w:rPr>
                <w:rFonts w:ascii="Comic Sans MS" w:hAnsi="Comic Sans MS"/>
                <w:i/>
                <w:sz w:val="22"/>
                <w:szCs w:val="22"/>
              </w:rPr>
              <w:t>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DB7F7E" w:rsidTr="00BD1D66">
        <w:trPr>
          <w:trHeight w:val="390"/>
        </w:trPr>
        <w:tc>
          <w:tcPr>
            <w:tcW w:w="1457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DB7F7E" w:rsidRPr="00AF5C9C" w:rsidRDefault="00DB7F7E" w:rsidP="00DF7D00">
            <w:pPr>
              <w:pStyle w:val="Contenudetableau"/>
              <w:jc w:val="center"/>
              <w:rPr>
                <w:rFonts w:ascii="Snap ITC" w:hAnsi="Snap ITC"/>
                <w:b/>
                <w:bCs/>
                <w:sz w:val="30"/>
                <w:szCs w:val="30"/>
              </w:rPr>
            </w:pPr>
            <w:r w:rsidRPr="00AF5C9C">
              <w:rPr>
                <w:rFonts w:ascii="Snap ITC" w:hAnsi="Snap ITC"/>
                <w:b/>
                <w:bCs/>
                <w:sz w:val="30"/>
                <w:szCs w:val="30"/>
              </w:rPr>
              <w:t>ESPACE ET GÉOMÉTRIE</w:t>
            </w:r>
          </w:p>
        </w:tc>
      </w:tr>
      <w:tr w:rsidR="006B7017" w:rsidTr="00B54995">
        <w:trPr>
          <w:trHeight w:val="840"/>
        </w:trPr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Se repérer et</w:t>
            </w:r>
          </w:p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se déplacer</w:t>
            </w:r>
          </w:p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en utilisant</w:t>
            </w:r>
          </w:p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des repères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Se repérer dans son environnement proche.</w:t>
            </w: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B54995">
        <w:trPr>
          <w:trHeight w:val="117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Situer des objets ou des personnes les uns par rapport aux autres ou par rapport à d’autres repères.</w:t>
            </w: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B54995">
        <w:trPr>
          <w:trHeight w:val="1602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ocabulaire permettant de définir des positions : gauche, droite,  au-dessus, en-dessous, sur, sous, devant, derrière, près, loin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AF2051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ocabulaire permetta</w:t>
            </w:r>
            <w:r>
              <w:rPr>
                <w:rFonts w:ascii="Comic Sans MS" w:hAnsi="Comic Sans MS"/>
                <w:sz w:val="22"/>
                <w:szCs w:val="22"/>
              </w:rPr>
              <w:t xml:space="preserve">nt de définir des positions : </w:t>
            </w:r>
            <w:r w:rsidRPr="00AF5C9C">
              <w:rPr>
                <w:rFonts w:ascii="Comic Sans MS" w:hAnsi="Comic Sans MS"/>
                <w:sz w:val="22"/>
                <w:szCs w:val="22"/>
              </w:rPr>
              <w:t>gauche, droite,  au-dessus, en-dessous, sur, sous, devant, derrière, près, loin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+ </w:t>
            </w:r>
            <w:r w:rsidRPr="00AF5C9C">
              <w:rPr>
                <w:rFonts w:ascii="Comic Sans MS" w:hAnsi="Comic Sans MS"/>
                <w:sz w:val="22"/>
                <w:szCs w:val="22"/>
              </w:rPr>
              <w:t>premier plan, second plan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017" w:rsidRPr="00AF2051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ocabulaire permettant de déf</w:t>
            </w:r>
            <w:r>
              <w:rPr>
                <w:rFonts w:ascii="Comic Sans MS" w:hAnsi="Comic Sans MS"/>
                <w:sz w:val="22"/>
                <w:szCs w:val="22"/>
              </w:rPr>
              <w:t xml:space="preserve">inir des positions : </w:t>
            </w:r>
            <w:r w:rsidRPr="00AF5C9C">
              <w:rPr>
                <w:rFonts w:ascii="Comic Sans MS" w:hAnsi="Comic Sans MS"/>
                <w:sz w:val="22"/>
                <w:szCs w:val="22"/>
              </w:rPr>
              <w:t>gauche, droite,  au-dessus, en-dessous, sur, sous, devant, derrière, près, loin</w:t>
            </w:r>
            <w:r>
              <w:rPr>
                <w:rFonts w:ascii="Comic Sans MS" w:hAnsi="Comic Sans MS"/>
              </w:rPr>
              <w:t xml:space="preserve">, </w:t>
            </w:r>
            <w:r w:rsidRPr="00AF5C9C">
              <w:rPr>
                <w:rFonts w:ascii="Comic Sans MS" w:hAnsi="Comic Sans MS"/>
                <w:sz w:val="22"/>
                <w:szCs w:val="22"/>
              </w:rPr>
              <w:t>premier plan, second plan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+ </w:t>
            </w:r>
            <w:r w:rsidRPr="00AF5C9C">
              <w:rPr>
                <w:rFonts w:ascii="Comic Sans MS" w:hAnsi="Comic Sans MS"/>
                <w:sz w:val="22"/>
                <w:szCs w:val="22"/>
              </w:rPr>
              <w:t>nord, sud, est, ouest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6B7017" w:rsidTr="00B54995">
        <w:trPr>
          <w:trHeight w:val="111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</w:t>
            </w:r>
            <w:r w:rsidRPr="00AF5C9C">
              <w:rPr>
                <w:rFonts w:ascii="Comic Sans MS" w:hAnsi="Comic Sans MS"/>
                <w:sz w:val="22"/>
                <w:szCs w:val="22"/>
              </w:rPr>
              <w:t>ocabulaire permettant de définir des déplacements (avancer, reculer, tourner à droite / à gauche, monter, descendre)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E370AC">
        <w:trPr>
          <w:trHeight w:val="100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Produire des représentations des espaces familiers : les espaces scolaires extérieurs proches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E370AC" w:rsidRDefault="006B7017" w:rsidP="00E370AC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Produire des représentations des espaces familiers : les espaces scolaires extérieurs proches, le quartier</w:t>
            </w:r>
            <w:r>
              <w:rPr>
                <w:rFonts w:ascii="Comic Sans MS" w:hAnsi="Comic Sans MS"/>
                <w:sz w:val="22"/>
                <w:szCs w:val="22"/>
              </w:rPr>
              <w:t xml:space="preserve">, 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des </w:t>
            </w:r>
            <w:r w:rsidR="00E370AC" w:rsidRPr="00AF5C9C">
              <w:rPr>
                <w:rFonts w:ascii="Comic Sans MS" w:hAnsi="Comic Sans MS"/>
                <w:sz w:val="22"/>
                <w:szCs w:val="22"/>
              </w:rPr>
              <w:t>espaces familiers (le village) et moins familiers (vécus lors de sorties)</w:t>
            </w:r>
            <w:r w:rsidR="00E370AC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370AC" w:rsidTr="00E370AC">
        <w:trPr>
          <w:trHeight w:val="1067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E370AC" w:rsidRPr="00AF5C9C" w:rsidRDefault="00E370AC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370AC" w:rsidRPr="00AF5C9C" w:rsidRDefault="00E370AC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Quelques modes de représentation de l’espace :</w:t>
            </w:r>
          </w:p>
          <w:p w:rsidR="00E370AC" w:rsidRPr="00AF5C9C" w:rsidRDefault="00E370AC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AF5C9C">
              <w:rPr>
                <w:rFonts w:ascii="Comic Sans MS" w:hAnsi="Comic Sans MS"/>
                <w:sz w:val="22"/>
                <w:szCs w:val="22"/>
              </w:rPr>
              <w:t>des photos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E370AC" w:rsidRDefault="00E370AC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Quelques modes de représentation de l’espace : </w:t>
            </w:r>
          </w:p>
          <w:p w:rsidR="00E370AC" w:rsidRPr="00AF5C9C" w:rsidRDefault="00E370AC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des photos + </w:t>
            </w:r>
            <w:r w:rsidRPr="00AF5C9C">
              <w:rPr>
                <w:rFonts w:ascii="Comic Sans MS" w:hAnsi="Comic Sans MS"/>
                <w:sz w:val="22"/>
                <w:szCs w:val="22"/>
              </w:rPr>
              <w:t>des maquettes</w:t>
            </w:r>
            <w:r>
              <w:rPr>
                <w:rFonts w:ascii="Comic Sans MS" w:hAnsi="Comic Sans MS"/>
                <w:sz w:val="22"/>
                <w:szCs w:val="22"/>
              </w:rPr>
              <w:t>, des plans.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E370AC" w:rsidRPr="00AF5C9C" w:rsidRDefault="00E370AC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DF35AB">
        <w:trPr>
          <w:trHeight w:val="593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DF35AB" w:rsidRDefault="006B7017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S’orienter et se déplacer en utilisant des repères.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8600CA">
        <w:trPr>
          <w:trHeight w:val="141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Coder et décoder pour prévoir, représenter et réaliser des déplacements dans des espaces familiers, sur quadrillage, sur écran.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65034C">
        <w:trPr>
          <w:trHeight w:val="61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Repères spatiaux.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B7017" w:rsidTr="00B54995">
        <w:trPr>
          <w:trHeight w:val="705"/>
        </w:trPr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6B7017" w:rsidRPr="00AF5C9C" w:rsidRDefault="006B7017" w:rsidP="00DF7D00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7017" w:rsidRDefault="006B7017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Relations entre l’espace dans lequel on se déplace et ses représentations.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6B7017" w:rsidRPr="00AF5C9C" w:rsidRDefault="006B7017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AF2051" w:rsidTr="00AF2051">
        <w:trPr>
          <w:trHeight w:val="617"/>
        </w:trPr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Reconnaître,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nommer,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décrire,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reproduire,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construire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quelques</w:t>
            </w:r>
          </w:p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solides</w:t>
            </w:r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Pr="00AF5C9C" w:rsidRDefault="00AF2051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lastRenderedPageBreak/>
              <w:t>Reconnaître et trier les solides usuels, parmi des solides variés.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Pr="00AF2051" w:rsidRDefault="00AF2051" w:rsidP="00AF2051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 et trier les solides usuels, parmi des solides variés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Pr="00AF5C9C" w:rsidRDefault="00AF2051" w:rsidP="00AF2051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AF2051" w:rsidTr="00AF2051">
        <w:trPr>
          <w:trHeight w:val="694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  <w:p w:rsidR="00AF2051" w:rsidRPr="00AF5C9C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Pr="00AF5C9C" w:rsidRDefault="00AF2051" w:rsidP="00573AAF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Décrire et comparer des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solides en utilisant le vocabulaire approprié. 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AF2051" w:rsidTr="006B7017">
        <w:trPr>
          <w:trHeight w:val="336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2051" w:rsidRP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Reproduire des solides.</w:t>
            </w:r>
          </w:p>
        </w:tc>
      </w:tr>
      <w:tr w:rsidR="00AF2051" w:rsidTr="00AF2051">
        <w:trPr>
          <w:trHeight w:val="726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Fabriquer un cube à partir d’un patron fourni.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AF2051" w:rsidTr="00AF2051">
        <w:trPr>
          <w:trHeight w:val="215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Vocabulaire approprié pour : </w:t>
            </w: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nommer des solides</w:t>
            </w: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BOULE</w:t>
            </w:r>
            <w:r w:rsidRPr="00AF5C9C">
              <w:rPr>
                <w:rFonts w:ascii="Comic Sans MS" w:hAnsi="Comic Sans MS"/>
                <w:sz w:val="22"/>
                <w:szCs w:val="22"/>
              </w:rPr>
              <w:t>, CUBE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Vocabulaire approprié pour : </w:t>
            </w: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nommer des solides</w:t>
            </w: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BOULE ,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CUBE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+ </w:t>
            </w:r>
            <w:r>
              <w:rPr>
                <w:rFonts w:ascii="Comic Sans MS" w:hAnsi="Comic Sans MS"/>
                <w:sz w:val="22"/>
                <w:szCs w:val="22"/>
              </w:rPr>
              <w:t>PAVÉ DROIT , PYRAMIDE.</w:t>
            </w: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Vocabulaire approprié pour :</w:t>
            </w: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nommer des solides</w:t>
            </w: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BOULE ,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CUBE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+ </w:t>
            </w:r>
            <w:r>
              <w:rPr>
                <w:rFonts w:ascii="Comic Sans MS" w:hAnsi="Comic Sans MS"/>
                <w:sz w:val="22"/>
                <w:szCs w:val="22"/>
              </w:rPr>
              <w:t>PAVÉ DROIT , PYRAMIDE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>
              <w:rPr>
                <w:rFonts w:ascii="Comic Sans MS" w:hAnsi="Comic Sans MS"/>
                <w:sz w:val="22"/>
                <w:szCs w:val="22"/>
              </w:rPr>
              <w:t>CYLINDRE, CÔNE.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TRIANGULAIRE</w:t>
            </w: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. décrire des polyèdres (face, sommet, arête).</w:t>
            </w:r>
          </w:p>
        </w:tc>
      </w:tr>
      <w:tr w:rsidR="00AF2051" w:rsidTr="00AF2051">
        <w:trPr>
          <w:trHeight w:val="66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faces d’un cube sont des carrés.</w:t>
            </w:r>
          </w:p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faces d’un cube sont des carrés.</w:t>
            </w:r>
          </w:p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AF2051" w:rsidTr="00AF2051">
        <w:trPr>
          <w:trHeight w:val="735"/>
        </w:trPr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AF2051" w:rsidRPr="00AF5C9C" w:rsidRDefault="00AF2051" w:rsidP="00556955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AF2051" w:rsidRDefault="00AF2051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2051" w:rsidRDefault="00AF2051" w:rsidP="00573AAF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faces d’un pavé droit sont des rectangles.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2051" w:rsidRDefault="00AF2051" w:rsidP="00D838C6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faces d’un pavé droit sont des rectangles.</w:t>
            </w:r>
          </w:p>
        </w:tc>
      </w:tr>
      <w:tr w:rsidR="00C24D75" w:rsidTr="002A535E">
        <w:trPr>
          <w:trHeight w:val="1695"/>
        </w:trPr>
        <w:tc>
          <w:tcPr>
            <w:tcW w:w="1590" w:type="dxa"/>
            <w:vMerge w:val="restart"/>
            <w:tcBorders>
              <w:top w:val="nil"/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Reconnaître,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nommer,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décrire,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reproduire,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construire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quelques</w:t>
            </w:r>
          </w:p>
          <w:p w:rsidR="00C24D75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AF5C9C">
              <w:rPr>
                <w:rFonts w:ascii="Lucida Handwriting" w:hAnsi="Lucida Handwriting"/>
                <w:b/>
                <w:bCs/>
                <w:sz w:val="20"/>
                <w:szCs w:val="20"/>
              </w:rPr>
              <w:t>figures</w:t>
            </w:r>
          </w:p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ucida Handwriting" w:hAnsi="Lucida Handwriting"/>
                <w:b/>
                <w:bCs/>
                <w:sz w:val="20"/>
                <w:szCs w:val="20"/>
              </w:rPr>
              <w:t>géomériques</w:t>
            </w:r>
            <w:proofErr w:type="spellEnd"/>
          </w:p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Décrire, reproduire des figures ou des assemblages de figures planes sur papier quadrillé ou uni. 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TRIANGLE, RECTANGLE, CARRÉ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Décrire, reproduire des figures ou des assemblages de figures planes sur papier quadrillé ou uni. </w:t>
            </w:r>
          </w:p>
          <w:p w:rsidR="00C24D75" w:rsidRPr="006B7017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POLYGONES, TRIANGLES, QUADRILATÈRES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Décrire, reproduire des figures ou des assemblages de figures planes sur papier quadrillé ou uni. </w:t>
            </w:r>
          </w:p>
          <w:p w:rsidR="00C24D75" w:rsidRPr="006B7017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RECTANGLE, CARRÉ, CERCLE, TRIANGLES</w:t>
            </w:r>
          </w:p>
        </w:tc>
      </w:tr>
      <w:tr w:rsidR="00C24D75" w:rsidTr="002A535E">
        <w:trPr>
          <w:trHeight w:val="87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Pr="00AF5C9C" w:rsidRDefault="00C24D75" w:rsidP="00DF7D00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la règle comme instrument de tracé.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la règle et l’équerre comme instrument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de tracé.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la règle, le compas ou l’équerre comme instruments de tracé</w:t>
            </w:r>
            <w:r w:rsidRPr="00AF5C9C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C24D75" w:rsidTr="002A535E">
        <w:trPr>
          <w:trHeight w:val="115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Reconnaître, nommer les figures usuelles : triangle, rectangle, carré</w:t>
            </w:r>
            <w:r>
              <w:rPr>
                <w:rFonts w:ascii="Comic Sans MS" w:hAnsi="Comic Sans MS"/>
                <w:sz w:val="22"/>
                <w:szCs w:val="22"/>
              </w:rPr>
              <w:t>, cercle</w:t>
            </w:r>
            <w:r w:rsidRPr="00AF5C9C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Reconnaître, nommer les figures usuelles :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les polygones, les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quadrilatères.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Pr="00573AAF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2A535E">
        <w:trPr>
          <w:trHeight w:val="117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 et décrire à partir des côtés et des angles droits, un carré, un rectangle.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Reconnaître et décrire à partir des côtés et des angles droits, un carré, un rectangle, un triangle rectangle. 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2A535E">
        <w:trPr>
          <w:trHeight w:val="76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Les construire sur un support uni connaissant la longueur des côtés.</w:t>
            </w:r>
          </w:p>
        </w:tc>
      </w:tr>
      <w:tr w:rsidR="00C24D75" w:rsidTr="002A535E">
        <w:trPr>
          <w:trHeight w:val="432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Construire un cercle connaissant son centre et un point, ou son centre et son rayon.</w:t>
            </w:r>
          </w:p>
        </w:tc>
      </w:tr>
      <w:tr w:rsidR="00C24D75" w:rsidTr="002A535E">
        <w:trPr>
          <w:trHeight w:val="2404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Connaître </w:t>
            </w:r>
            <w:r w:rsidRPr="00AF5C9C">
              <w:rPr>
                <w:rFonts w:ascii="Comic Sans MS" w:hAnsi="Comic Sans MS"/>
                <w:sz w:val="22"/>
                <w:szCs w:val="22"/>
              </w:rPr>
              <w:t>le vocabulaire approprié pour décrire les figures pla</w:t>
            </w:r>
            <w:r>
              <w:rPr>
                <w:rFonts w:ascii="Comic Sans MS" w:hAnsi="Comic Sans MS"/>
                <w:sz w:val="22"/>
                <w:szCs w:val="22"/>
              </w:rPr>
              <w:t>nes usuelles :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carré, rectangle, triangle.</w:t>
            </w: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Connaître 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le vocabulaire approprié pour décrire les figures planes </w:t>
            </w:r>
            <w:r>
              <w:rPr>
                <w:rFonts w:ascii="Comic Sans MS" w:hAnsi="Comic Sans MS"/>
                <w:sz w:val="22"/>
                <w:szCs w:val="22"/>
              </w:rPr>
              <w:t xml:space="preserve">usuelles : 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AF5C9C">
              <w:rPr>
                <w:rFonts w:ascii="Comic Sans MS" w:hAnsi="Comic Sans MS"/>
                <w:sz w:val="22"/>
                <w:szCs w:val="22"/>
              </w:rPr>
              <w:t>carré, rectangle, triangle, triangle rectangle, polygone, côté, sommet, angle droit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Pr="008177B3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. segment, </w:t>
            </w:r>
            <w:r w:rsidRPr="00AF5C9C">
              <w:rPr>
                <w:rFonts w:ascii="Comic Sans MS" w:hAnsi="Comic Sans MS"/>
                <w:sz w:val="22"/>
                <w:szCs w:val="22"/>
              </w:rPr>
              <w:t>droite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Connaître </w:t>
            </w:r>
            <w:r w:rsidRPr="00AF5C9C">
              <w:rPr>
                <w:rFonts w:ascii="Comic Sans MS" w:hAnsi="Comic Sans MS"/>
                <w:sz w:val="22"/>
                <w:szCs w:val="22"/>
              </w:rPr>
              <w:t>le vocabulaire approprié p</w:t>
            </w:r>
            <w:r>
              <w:rPr>
                <w:rFonts w:ascii="Comic Sans MS" w:hAnsi="Comic Sans MS"/>
                <w:sz w:val="22"/>
                <w:szCs w:val="22"/>
              </w:rPr>
              <w:t>our décrire les figures planes usuelles :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AF5C9C">
              <w:rPr>
                <w:rFonts w:ascii="Comic Sans MS" w:hAnsi="Comic Sans MS"/>
                <w:sz w:val="22"/>
                <w:szCs w:val="22"/>
              </w:rPr>
              <w:t>carré, rectangle, triangle, triangle rectangle, polygone, côté, sommet, angle droit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cercle, disque, rayon, centre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C24D75" w:rsidRPr="008177B3" w:rsidRDefault="00C24D75" w:rsidP="009934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AF5C9C">
              <w:rPr>
                <w:rFonts w:ascii="Comic Sans MS" w:hAnsi="Comic Sans MS"/>
                <w:sz w:val="22"/>
                <w:szCs w:val="22"/>
              </w:rPr>
              <w:t>segment, milieu</w:t>
            </w:r>
            <w:r>
              <w:rPr>
                <w:rFonts w:ascii="Comic Sans MS" w:hAnsi="Comic Sans MS"/>
                <w:sz w:val="22"/>
                <w:szCs w:val="22"/>
              </w:rPr>
              <w:t xml:space="preserve"> d’un segment</w:t>
            </w:r>
            <w:r w:rsidRPr="00AF5C9C">
              <w:rPr>
                <w:rFonts w:ascii="Comic Sans MS" w:hAnsi="Comic Sans MS"/>
                <w:sz w:val="22"/>
                <w:szCs w:val="22"/>
              </w:rPr>
              <w:t>, droite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C24D75" w:rsidTr="002A535E">
        <w:trPr>
          <w:trHeight w:val="127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</w:t>
            </w:r>
            <w:r w:rsidR="00890FCD">
              <w:rPr>
                <w:rFonts w:ascii="Comic Sans MS" w:hAnsi="Comic Sans MS"/>
                <w:sz w:val="22"/>
                <w:szCs w:val="22"/>
              </w:rPr>
              <w:t>ropriété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des angles et égalité de longueur des côtés pour les carrés et rectangles.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</w:t>
            </w:r>
            <w:r w:rsidRPr="00AF5C9C">
              <w:rPr>
                <w:rFonts w:ascii="Comic Sans MS" w:hAnsi="Comic Sans MS"/>
                <w:sz w:val="22"/>
                <w:szCs w:val="22"/>
              </w:rPr>
              <w:t>ropri</w:t>
            </w:r>
            <w:r w:rsidR="00890FCD">
              <w:rPr>
                <w:rFonts w:ascii="Comic Sans MS" w:hAnsi="Comic Sans MS"/>
                <w:sz w:val="22"/>
                <w:szCs w:val="22"/>
              </w:rPr>
              <w:t>été</w:t>
            </w:r>
            <w:r w:rsidRPr="00AF5C9C">
              <w:rPr>
                <w:rFonts w:ascii="Comic Sans MS" w:hAnsi="Comic Sans MS"/>
                <w:sz w:val="22"/>
                <w:szCs w:val="22"/>
              </w:rPr>
              <w:t xml:space="preserve"> des angles et égalité de longueur des côtés pour les carrés et rectangles.</w:t>
            </w:r>
          </w:p>
          <w:p w:rsidR="00C24D75" w:rsidRDefault="00C24D75" w:rsidP="009934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2A535E">
        <w:trPr>
          <w:trHeight w:val="187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Lien entre propriétés géométriques et instruments de tracé : 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droite, alignement et règle non graduée.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angle droit et équerre.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9934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Lien entre propriétés géométriques et instruments de tracé : </w:t>
            </w:r>
          </w:p>
          <w:p w:rsidR="00C24D75" w:rsidRDefault="00C24D75" w:rsidP="009934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droite, alignement et règle non graduée.</w:t>
            </w:r>
          </w:p>
          <w:p w:rsidR="00C24D75" w:rsidRDefault="00C24D75" w:rsidP="009934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angle droit et équerre.</w:t>
            </w:r>
          </w:p>
          <w:p w:rsidR="00C24D75" w:rsidRDefault="00C24D75" w:rsidP="009934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. cercle et compas.</w:t>
            </w:r>
          </w:p>
        </w:tc>
      </w:tr>
      <w:tr w:rsidR="00C24D75" w:rsidTr="002A535E">
        <w:trPr>
          <w:trHeight w:val="96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Pr="00386DAE" w:rsidRDefault="00C24D75" w:rsidP="00DF7D00">
            <w:pPr>
              <w:pStyle w:val="Contenudetableau"/>
              <w:rPr>
                <w:rFonts w:ascii="Comic Sans MS" w:hAnsi="Comic Sans MS"/>
                <w:i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 xml:space="preserve">Utiliser la règle non graduée pour repérer et produire des alignements. 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Utiliser la règle non graduée pour repérer et produire des alignements.</w:t>
            </w:r>
          </w:p>
          <w:p w:rsidR="00C24D75" w:rsidRPr="00AF5C9C" w:rsidRDefault="00C24D75" w:rsidP="00DF7D00">
            <w:pPr>
              <w:rPr>
                <w:rFonts w:ascii="Comic Sans MS" w:hAnsi="Comic Sans MS"/>
              </w:rPr>
            </w:pPr>
          </w:p>
        </w:tc>
      </w:tr>
      <w:tr w:rsidR="00C24D75" w:rsidTr="002A535E">
        <w:trPr>
          <w:trHeight w:val="48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Repérer et produire des angles droits à l’aide d’un gabarit, d’une équerre.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Repérer et produire des angles droits à l’aide d’un gabarit, d’une équerre.</w:t>
            </w:r>
          </w:p>
          <w:p w:rsidR="00C24D75" w:rsidRPr="00AF5C9C" w:rsidRDefault="00C24D75" w:rsidP="00DF7D00">
            <w:pPr>
              <w:rPr>
                <w:rFonts w:ascii="Comic Sans MS" w:hAnsi="Comic Sans MS"/>
              </w:rPr>
            </w:pPr>
          </w:p>
        </w:tc>
      </w:tr>
      <w:tr w:rsidR="00C24D75" w:rsidTr="002A535E">
        <w:trPr>
          <w:trHeight w:val="73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Reporter </w:t>
            </w:r>
            <w:r w:rsidRPr="0099341C">
              <w:rPr>
                <w:rFonts w:ascii="Comic Sans MS" w:hAnsi="Comic Sans MS"/>
                <w:sz w:val="22"/>
                <w:szCs w:val="22"/>
              </w:rPr>
              <w:t>une longueur sur une droite déjà tracée.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</w:p>
          <w:p w:rsidR="00C24D75" w:rsidRPr="00AF5C9C" w:rsidRDefault="00C24D75" w:rsidP="00DF7D00">
            <w:pPr>
              <w:rPr>
                <w:rFonts w:ascii="Comic Sans MS" w:hAnsi="Comic Sans MS"/>
              </w:rPr>
            </w:pPr>
          </w:p>
        </w:tc>
      </w:tr>
      <w:tr w:rsidR="00C24D75" w:rsidTr="00890FCD">
        <w:trPr>
          <w:trHeight w:val="642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Repérer ou trouver le milieu d’un segment.</w:t>
            </w:r>
          </w:p>
        </w:tc>
      </w:tr>
      <w:tr w:rsidR="00C24D75" w:rsidTr="002A535E">
        <w:trPr>
          <w:trHeight w:val="46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Alignement de points ou de segments.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Alignement de points ou de segments.</w:t>
            </w:r>
          </w:p>
        </w:tc>
      </w:tr>
      <w:tr w:rsidR="00C24D75" w:rsidTr="00890FCD">
        <w:trPr>
          <w:trHeight w:val="112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1" w:type="dxa"/>
            </w:tcMar>
          </w:tcPr>
          <w:p w:rsidR="00C24D75" w:rsidRDefault="00890FCD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Angle droit.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24D75" w:rsidRDefault="00890FCD" w:rsidP="00DF7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Angle droit.</w:t>
            </w:r>
          </w:p>
          <w:p w:rsidR="00C24D75" w:rsidRDefault="00C24D75" w:rsidP="00DF7D00">
            <w:pPr>
              <w:rPr>
                <w:rFonts w:ascii="Comic Sans MS" w:hAnsi="Comic Sans MS"/>
              </w:rPr>
            </w:pPr>
          </w:p>
          <w:p w:rsidR="00C24D75" w:rsidRDefault="00C24D75" w:rsidP="00DF7D00">
            <w:pPr>
              <w:rPr>
                <w:rFonts w:ascii="Comic Sans MS" w:hAnsi="Comic Sans MS"/>
              </w:rPr>
            </w:pPr>
          </w:p>
          <w:p w:rsidR="00C24D75" w:rsidRDefault="00C24D75" w:rsidP="00DF7D00">
            <w:pPr>
              <w:rPr>
                <w:rFonts w:ascii="Comic Sans MS" w:hAnsi="Comic Sans MS"/>
              </w:rPr>
            </w:pPr>
          </w:p>
        </w:tc>
      </w:tr>
      <w:tr w:rsidR="00C24D75" w:rsidTr="00890FCD">
        <w:trPr>
          <w:trHeight w:val="467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</w:tcMar>
          </w:tcPr>
          <w:p w:rsidR="00890FCD" w:rsidRDefault="00890FCD" w:rsidP="00890FCD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Égalité de longueurs.</w:t>
            </w:r>
          </w:p>
          <w:p w:rsidR="00C24D75" w:rsidRDefault="00890FCD" w:rsidP="00890FCD">
            <w:pPr>
              <w:pStyle w:val="Contenudetableau"/>
              <w:rPr>
                <w:rFonts w:ascii="Comic Sans MS" w:hAnsi="Comic Sans MS"/>
              </w:rPr>
            </w:pPr>
            <w:r w:rsidRPr="00386DAE">
              <w:rPr>
                <w:rFonts w:ascii="Comic Sans MS" w:hAnsi="Comic Sans MS"/>
                <w:i/>
                <w:sz w:val="22"/>
                <w:szCs w:val="22"/>
              </w:rPr>
              <w:t>Ex : Utiliser une bande de papier ou ficelle.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</w:p>
        </w:tc>
      </w:tr>
      <w:tr w:rsidR="00C24D75" w:rsidTr="00C24D75">
        <w:trPr>
          <w:trHeight w:val="69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Milieu d’un segment.</w:t>
            </w:r>
          </w:p>
        </w:tc>
      </w:tr>
      <w:tr w:rsidR="00C24D75" w:rsidTr="00C24D75">
        <w:trPr>
          <w:trHeight w:val="87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 si une figure présente un axe de symétrie (à trouver).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C24D75" w:rsidRDefault="00C24D75" w:rsidP="00386DAE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Reconnaître si une figure présente un axe de symétrie (à trouver).</w:t>
            </w:r>
          </w:p>
          <w:p w:rsidR="00C24D75" w:rsidRPr="005A3678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C24D75">
        <w:trPr>
          <w:trHeight w:val="111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Compléter une figure pour qu’elle soit symétrique par rapport à un axe.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C24D75" w:rsidRDefault="00C24D75" w:rsidP="00386DAE">
            <w:pPr>
              <w:pStyle w:val="Contenudetableau"/>
              <w:rPr>
                <w:rFonts w:ascii="Comic Sans MS" w:hAnsi="Comic Sans MS"/>
              </w:rPr>
            </w:pPr>
            <w:r w:rsidRPr="00AF5C9C">
              <w:rPr>
                <w:rFonts w:ascii="Comic Sans MS" w:hAnsi="Comic Sans MS"/>
                <w:sz w:val="22"/>
                <w:szCs w:val="22"/>
              </w:rPr>
              <w:t>Compléter une figure pour qu’elle soit symétrique par rapport à un axe.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C24D75">
        <w:trPr>
          <w:trHeight w:val="615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C24D75">
            <w:pPr>
              <w:pStyle w:val="Contenudetableau"/>
              <w:tabs>
                <w:tab w:val="left" w:pos="14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C24D75" w:rsidRDefault="00C24D75" w:rsidP="00386DAE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Symétrie axiale.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C24D75">
        <w:trPr>
          <w:trHeight w:val="1200"/>
        </w:trPr>
        <w:tc>
          <w:tcPr>
            <w:tcW w:w="1590" w:type="dxa"/>
            <w:vMerge/>
            <w:tcBorders>
              <w:left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vMerge/>
            <w:tcBorders>
              <w:left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Une figure décalquée puis retournée qui coïncide avec la figure initiale : elle a un axe de symétrie (à trouver).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C24D75" w:rsidRDefault="00C24D75" w:rsidP="00386DAE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Une figure décalquée puis retournée qui coïncide avec la figure initiale : elle a un axe de symétrie (à trouver).</w:t>
            </w:r>
          </w:p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C24D75" w:rsidTr="00C24D75">
        <w:trPr>
          <w:trHeight w:val="1343"/>
        </w:trPr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0066CC"/>
            <w:tcMar>
              <w:left w:w="51" w:type="dxa"/>
            </w:tcMar>
            <w:vAlign w:val="center"/>
          </w:tcPr>
          <w:p w:rsidR="00C24D75" w:rsidRDefault="00C24D75" w:rsidP="00DF7D00"/>
        </w:tc>
        <w:tc>
          <w:tcPr>
            <w:tcW w:w="4311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51" w:type="dxa"/>
            </w:tcMar>
          </w:tcPr>
          <w:p w:rsidR="00C24D75" w:rsidRPr="00AF5C9C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Une figure symétrique pliée sur son axe de symétrie, se partage en deux parties qui coïncident exactement.</w:t>
            </w:r>
          </w:p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24D75" w:rsidRDefault="00C24D75" w:rsidP="00DF7D00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Une figure symétrique pliée sur son axe de symétrie, se partage en deux parties qui coïncident exactement.</w:t>
            </w:r>
          </w:p>
        </w:tc>
      </w:tr>
    </w:tbl>
    <w:p w:rsidR="00DB7F7E" w:rsidRDefault="00DB7F7E" w:rsidP="00DB7F7E">
      <w:pPr>
        <w:jc w:val="center"/>
        <w:rPr>
          <w:sz w:val="4"/>
          <w:szCs w:val="4"/>
        </w:rPr>
      </w:pPr>
    </w:p>
    <w:p w:rsidR="00DB7F7E" w:rsidRDefault="00DB7F7E" w:rsidP="00DB7F7E"/>
    <w:p w:rsidR="00264884" w:rsidRDefault="00264884"/>
    <w:sectPr w:rsidR="00264884" w:rsidSect="00DF7D00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E"/>
    <w:rsid w:val="00264884"/>
    <w:rsid w:val="00361D24"/>
    <w:rsid w:val="00386DAE"/>
    <w:rsid w:val="004F7FB0"/>
    <w:rsid w:val="00556955"/>
    <w:rsid w:val="00573AAF"/>
    <w:rsid w:val="005A3678"/>
    <w:rsid w:val="006B7017"/>
    <w:rsid w:val="007F3F15"/>
    <w:rsid w:val="008177B3"/>
    <w:rsid w:val="008363C7"/>
    <w:rsid w:val="00890FCD"/>
    <w:rsid w:val="0099341C"/>
    <w:rsid w:val="00A429F9"/>
    <w:rsid w:val="00AF2051"/>
    <w:rsid w:val="00BD1D66"/>
    <w:rsid w:val="00C24D75"/>
    <w:rsid w:val="00D838C6"/>
    <w:rsid w:val="00DB7F7E"/>
    <w:rsid w:val="00DF35AB"/>
    <w:rsid w:val="00DF7D00"/>
    <w:rsid w:val="00E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E"/>
    <w:pPr>
      <w:overflowPunct w:val="0"/>
      <w:spacing w:after="0" w:line="240" w:lineRule="auto"/>
    </w:pPr>
    <w:rPr>
      <w:rFonts w:ascii="Liberation Serif" w:eastAsia="Lucida Sans Unicode" w:hAnsi="Liberation Serif" w:cs="FreeSans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DB7F7E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B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B0"/>
    <w:rPr>
      <w:rFonts w:ascii="Tahoma" w:eastAsia="Lucida Sans Unicode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E"/>
    <w:pPr>
      <w:overflowPunct w:val="0"/>
      <w:spacing w:after="0" w:line="240" w:lineRule="auto"/>
    </w:pPr>
    <w:rPr>
      <w:rFonts w:ascii="Liberation Serif" w:eastAsia="Lucida Sans Unicode" w:hAnsi="Liberation Serif" w:cs="FreeSans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DB7F7E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B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B0"/>
    <w:rPr>
      <w:rFonts w:ascii="Tahoma" w:eastAsia="Lucida Sans Unicode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3425</Words>
  <Characters>18843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Lenovo</cp:lastModifiedBy>
  <cp:revision>2</cp:revision>
  <cp:lastPrinted>2016-12-02T10:26:00Z</cp:lastPrinted>
  <dcterms:created xsi:type="dcterms:W3CDTF">2016-12-02T10:31:00Z</dcterms:created>
  <dcterms:modified xsi:type="dcterms:W3CDTF">2016-12-02T10:31:00Z</dcterms:modified>
</cp:coreProperties>
</file>